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73" w:rsidRDefault="00360D73">
      <w:r>
        <w:rPr>
          <w:noProof/>
          <w:lang w:eastAsia="fr-FR"/>
        </w:rPr>
        <w:drawing>
          <wp:inline distT="0" distB="0" distL="0" distR="0" wp14:anchorId="28ADFBBE" wp14:editId="359F64A4">
            <wp:extent cx="2400300" cy="857250"/>
            <wp:effectExtent l="0" t="0" r="0" b="0"/>
            <wp:docPr id="1" name="Image 4" descr="Une image contenant texte&#10;&#10;Description générée automatiquemen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Une image contenant texte&#10;&#10;Description générée automatiquement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1FF">
        <w:t xml:space="preserve">                                                           Paris, le 11 octobre 2021</w:t>
      </w:r>
    </w:p>
    <w:p w:rsidR="00360D73" w:rsidRDefault="00360D73"/>
    <w:p w:rsidR="00F85139" w:rsidRDefault="008B5301" w:rsidP="00E4688E">
      <w:pPr>
        <w:jc w:val="both"/>
      </w:pPr>
      <w:r>
        <w:t xml:space="preserve">Réunion des sections étrangères </w:t>
      </w:r>
      <w:r w:rsidR="008D4F79">
        <w:t>(</w:t>
      </w:r>
      <w:r>
        <w:t>St Germain en Laye, 27 septembre – 9h30-10h30</w:t>
      </w:r>
      <w:r w:rsidR="008D4F79">
        <w:t>)</w:t>
      </w:r>
      <w:r>
        <w:t xml:space="preserve">  </w:t>
      </w:r>
    </w:p>
    <w:p w:rsidR="008A10B3" w:rsidRDefault="00D75781" w:rsidP="00E4688E">
      <w:pPr>
        <w:jc w:val="both"/>
      </w:pPr>
      <w:r>
        <w:br/>
      </w:r>
      <w:r w:rsidR="004F027D">
        <w:t>L</w:t>
      </w:r>
      <w:r w:rsidR="008D4F79">
        <w:t>a réunion annuelle des présidents de section de la SMLH</w:t>
      </w:r>
      <w:r w:rsidR="004F027D">
        <w:t>, suivie le lendemain de l’assemblée générale ordinaire,</w:t>
      </w:r>
      <w:r w:rsidR="008D4F79">
        <w:t xml:space="preserve"> </w:t>
      </w:r>
      <w:r w:rsidR="004F027D">
        <w:t>a été l’occasion d’accueillir à Saint Germai</w:t>
      </w:r>
      <w:r w:rsidR="008A10B3">
        <w:t xml:space="preserve">n en Laye les présidents – ou leur représentant - de </w:t>
      </w:r>
      <w:r>
        <w:t>sections de l’étranger venues de 4 continents</w:t>
      </w:r>
      <w:r w:rsidR="008A10B3">
        <w:t xml:space="preserve"> : de </w:t>
      </w:r>
      <w:r w:rsidR="00D77054">
        <w:t>Belgique, Chypre, Espagne, Hong Kong, Italie-Saint Siège, Japon, Liban, Madagascar,</w:t>
      </w:r>
      <w:r w:rsidR="005F197B">
        <w:t xml:space="preserve"> Mexique, </w:t>
      </w:r>
      <w:r w:rsidR="00D77054">
        <w:t xml:space="preserve">Pays-Bas, Pologne, Roumanie, </w:t>
      </w:r>
      <w:r w:rsidR="000A2AB4">
        <w:t xml:space="preserve">Suède, </w:t>
      </w:r>
      <w:r w:rsidR="00D77054">
        <w:t xml:space="preserve">Suisse, Venezuela </w:t>
      </w:r>
      <w:r>
        <w:t xml:space="preserve">. </w:t>
      </w:r>
    </w:p>
    <w:p w:rsidR="00E150B8" w:rsidRDefault="008A10B3" w:rsidP="00E4688E">
      <w:pPr>
        <w:jc w:val="both"/>
      </w:pPr>
      <w:r>
        <w:t xml:space="preserve">Une réunion spécifique des sections étrangères s’est tenue en amont de la séance plénière. </w:t>
      </w:r>
      <w:r w:rsidR="007408F0">
        <w:t xml:space="preserve">Chacun a pu présenter brièvement les activités de sa section. </w:t>
      </w:r>
      <w:r w:rsidR="00D75781">
        <w:t xml:space="preserve">Par ailleurs, un déjeuner </w:t>
      </w:r>
      <w:r>
        <w:t>organisé</w:t>
      </w:r>
      <w:r w:rsidR="00E150B8">
        <w:t xml:space="preserve"> </w:t>
      </w:r>
      <w:r w:rsidR="00D75781">
        <w:t>dans une brasserie voisine</w:t>
      </w:r>
      <w:r>
        <w:t xml:space="preserve"> a </w:t>
      </w:r>
      <w:r w:rsidR="00D75781">
        <w:t>perm</w:t>
      </w:r>
      <w:r>
        <w:t>is</w:t>
      </w:r>
      <w:r w:rsidR="00D75781">
        <w:t xml:space="preserve"> de nouer des contacts entre présidents et vice-présidents qui n’avaient pas jusqu’alors eu l’occasion de se rencontrer. </w:t>
      </w:r>
    </w:p>
    <w:p w:rsidR="007408F0" w:rsidRDefault="007408F0" w:rsidP="00E4688E">
      <w:pPr>
        <w:jc w:val="both"/>
      </w:pPr>
      <w:r>
        <w:t>Ont</w:t>
      </w:r>
      <w:r w:rsidR="00D77054">
        <w:t xml:space="preserve"> notamment </w:t>
      </w:r>
      <w:r>
        <w:t>été évoqués les sujets suivants</w:t>
      </w:r>
      <w:r w:rsidR="00D77054">
        <w:t xml:space="preserve"> : </w:t>
      </w:r>
    </w:p>
    <w:p w:rsidR="00EC5631" w:rsidRPr="007F3404" w:rsidRDefault="00D77054" w:rsidP="00E4688E">
      <w:pPr>
        <w:pStyle w:val="Paragraphedeliste"/>
        <w:numPr>
          <w:ilvl w:val="0"/>
          <w:numId w:val="1"/>
        </w:numPr>
        <w:jc w:val="both"/>
      </w:pPr>
      <w:r w:rsidRPr="007F3404">
        <w:rPr>
          <w:b/>
        </w:rPr>
        <w:t xml:space="preserve">Le </w:t>
      </w:r>
      <w:r w:rsidR="00EC5631" w:rsidRPr="007F3404">
        <w:rPr>
          <w:b/>
        </w:rPr>
        <w:t>Centenaire</w:t>
      </w:r>
      <w:r w:rsidRPr="007F3404">
        <w:rPr>
          <w:b/>
        </w:rPr>
        <w:t xml:space="preserve"> de la SMLH</w:t>
      </w:r>
      <w:r w:rsidR="00EC5631" w:rsidRPr="007F3404">
        <w:rPr>
          <w:b/>
        </w:rPr>
        <w:t xml:space="preserve"> </w:t>
      </w:r>
    </w:p>
    <w:p w:rsidR="007F3404" w:rsidRDefault="007F3404" w:rsidP="00E4688E">
      <w:pPr>
        <w:pStyle w:val="Paragraphedeliste"/>
        <w:jc w:val="both"/>
      </w:pPr>
    </w:p>
    <w:p w:rsidR="00D9465B" w:rsidRDefault="00D77054" w:rsidP="00E4688E">
      <w:pPr>
        <w:pStyle w:val="Paragraphedeliste"/>
        <w:numPr>
          <w:ilvl w:val="0"/>
          <w:numId w:val="4"/>
        </w:numPr>
        <w:jc w:val="both"/>
      </w:pPr>
      <w:r>
        <w:t xml:space="preserve">La veille avait eu lieu </w:t>
      </w:r>
      <w:r w:rsidR="00726D7C">
        <w:t>dans la cour d’honneur des Invalides la</w:t>
      </w:r>
      <w:r w:rsidR="00D9465B">
        <w:t xml:space="preserve"> grande journée des </w:t>
      </w:r>
      <w:r w:rsidR="00D9465B" w:rsidRPr="005D314F">
        <w:rPr>
          <w:b/>
        </w:rPr>
        <w:t>Olympiades</w:t>
      </w:r>
      <w:r w:rsidR="00D9465B">
        <w:t xml:space="preserve"> </w:t>
      </w:r>
      <w:r w:rsidR="005D314F" w:rsidRPr="005D314F">
        <w:rPr>
          <w:b/>
        </w:rPr>
        <w:t xml:space="preserve">de la Jeunesse </w:t>
      </w:r>
      <w:r w:rsidR="00726D7C" w:rsidRPr="00726D7C">
        <w:t>qui a remporté un</w:t>
      </w:r>
      <w:r w:rsidR="00726D7C">
        <w:rPr>
          <w:b/>
        </w:rPr>
        <w:t xml:space="preserve"> </w:t>
      </w:r>
      <w:r w:rsidR="00726D7C" w:rsidRPr="00726D7C">
        <w:t>magnifique succès</w:t>
      </w:r>
      <w:r w:rsidR="00726D7C">
        <w:t xml:space="preserve"> (voir </w:t>
      </w:r>
      <w:r w:rsidR="008560EA">
        <w:t xml:space="preserve">les reportages </w:t>
      </w:r>
      <w:r w:rsidR="00726D7C">
        <w:t>sur le site smlh</w:t>
      </w:r>
      <w:r w:rsidR="008560EA">
        <w:t>.fr</w:t>
      </w:r>
      <w:r w:rsidR="00726D7C">
        <w:t xml:space="preserve">). Plusieurs sections de l’étranger y ont participé avec des jeunes venus du Burkina Faso, de Chypre,  </w:t>
      </w:r>
      <w:r w:rsidR="008A5B1E">
        <w:t xml:space="preserve">de </w:t>
      </w:r>
      <w:r w:rsidR="00FC322A">
        <w:t xml:space="preserve">Madagascar (contribution digitale très active,) </w:t>
      </w:r>
      <w:r w:rsidR="008A5B1E">
        <w:t>Monaco</w:t>
      </w:r>
      <w:r w:rsidR="00726D7C">
        <w:t xml:space="preserve"> et une équipe constituée de trois pays européens :</w:t>
      </w:r>
      <w:r w:rsidR="00D9465B">
        <w:t xml:space="preserve"> Hongrie-Pologne-Pays Bas</w:t>
      </w:r>
      <w:r w:rsidR="00726D7C">
        <w:t>.</w:t>
      </w:r>
      <w:r w:rsidR="00453435">
        <w:t xml:space="preserve"> </w:t>
      </w:r>
      <w:r w:rsidR="00726D7C">
        <w:t>L’</w:t>
      </w:r>
      <w:r w:rsidR="00453435">
        <w:t>Outre-</w:t>
      </w:r>
      <w:r w:rsidR="00D9465B">
        <w:t>Mer </w:t>
      </w:r>
      <w:r w:rsidR="00726D7C">
        <w:t xml:space="preserve"> a également participé avec une équipe </w:t>
      </w:r>
      <w:r w:rsidR="00FC322A">
        <w:t xml:space="preserve">de la Guadeloupe, </w:t>
      </w:r>
      <w:r w:rsidR="00726D7C">
        <w:t>classée 2è</w:t>
      </w:r>
      <w:r w:rsidR="00FC322A">
        <w:t>,</w:t>
      </w:r>
      <w:r w:rsidR="00726D7C">
        <w:t xml:space="preserve"> et </w:t>
      </w:r>
      <w:r w:rsidR="00FC322A">
        <w:t xml:space="preserve">une de </w:t>
      </w:r>
      <w:r w:rsidR="00726D7C">
        <w:t xml:space="preserve">La Réunion. </w:t>
      </w:r>
    </w:p>
    <w:p w:rsidR="007F3404" w:rsidRDefault="007F3404" w:rsidP="00E4688E">
      <w:pPr>
        <w:pStyle w:val="Paragraphedeliste"/>
        <w:jc w:val="both"/>
      </w:pPr>
    </w:p>
    <w:p w:rsidR="00AF5FE7" w:rsidRDefault="00F56E1E" w:rsidP="00E4688E">
      <w:pPr>
        <w:pStyle w:val="Paragraphedeliste"/>
        <w:numPr>
          <w:ilvl w:val="0"/>
          <w:numId w:val="4"/>
        </w:numPr>
        <w:jc w:val="both"/>
      </w:pPr>
      <w:r w:rsidRPr="00F56E1E">
        <w:t>Un point a été fait sur l</w:t>
      </w:r>
      <w:r w:rsidR="00726D7C" w:rsidRPr="00F56E1E">
        <w:t>e</w:t>
      </w:r>
      <w:r w:rsidR="00726D7C">
        <w:rPr>
          <w:b/>
        </w:rPr>
        <w:t xml:space="preserve"> </w:t>
      </w:r>
      <w:r w:rsidR="00AF5FE7" w:rsidRPr="005D314F">
        <w:rPr>
          <w:b/>
        </w:rPr>
        <w:t>Colloque de Rome</w:t>
      </w:r>
      <w:r w:rsidR="00AF5FE7">
        <w:t xml:space="preserve"> </w:t>
      </w:r>
      <w:r w:rsidR="00726D7C">
        <w:t xml:space="preserve">qui aura lieu </w:t>
      </w:r>
      <w:r w:rsidR="00E150B8">
        <w:t>le 8 novembre au Palais Farnèse</w:t>
      </w:r>
      <w:r w:rsidR="00726D7C">
        <w:t xml:space="preserve"> </w:t>
      </w:r>
      <w:r w:rsidR="00394DF1">
        <w:t xml:space="preserve">avec les sections européennes </w:t>
      </w:r>
      <w:r w:rsidR="00726D7C">
        <w:t>sur le thème « Quelle Europe pour l’avenir des jeunes ? »</w:t>
      </w:r>
      <w:r w:rsidR="00BB0ECC">
        <w:t>, préparé</w:t>
      </w:r>
      <w:r w:rsidR="00E150B8">
        <w:t xml:space="preserve"> par les sections Italie et Suisse</w:t>
      </w:r>
      <w:r>
        <w:t>, en associant les étudiants de 8 Universités européennes</w:t>
      </w:r>
      <w:r w:rsidRPr="00F56E1E">
        <w:t xml:space="preserve"> </w:t>
      </w:r>
      <w:r>
        <w:t>sous le pilotage de celles de Genève et de Milan</w:t>
      </w:r>
      <w:r w:rsidR="00E150B8">
        <w:t>.</w:t>
      </w:r>
      <w:r w:rsidR="003A0B19">
        <w:t xml:space="preserve"> </w:t>
      </w:r>
      <w:r>
        <w:t>Le</w:t>
      </w:r>
      <w:r w:rsidR="003A0B19">
        <w:t xml:space="preserve"> rapport présenté à Rome </w:t>
      </w:r>
      <w:r>
        <w:t>sera</w:t>
      </w:r>
      <w:r w:rsidR="003A0B19">
        <w:t xml:space="preserve"> remis aux autorités bruxelloises</w:t>
      </w:r>
      <w:r>
        <w:t>. Il est souligné, pour ceux qui ne pourront être présents à Rome,</w:t>
      </w:r>
      <w:r w:rsidR="00394DF1">
        <w:t xml:space="preserve"> qu’</w:t>
      </w:r>
      <w:r w:rsidRPr="00F56E1E">
        <w:rPr>
          <w:b/>
        </w:rPr>
        <w:t>il sera possible de suivre les débats en visioconférence</w:t>
      </w:r>
      <w:r>
        <w:t xml:space="preserve">. Le lien utile sera communiqué le moment venu. </w:t>
      </w:r>
    </w:p>
    <w:p w:rsidR="007F3404" w:rsidRDefault="007F3404" w:rsidP="00E4688E">
      <w:pPr>
        <w:pStyle w:val="Paragraphedeliste"/>
        <w:jc w:val="both"/>
      </w:pPr>
    </w:p>
    <w:p w:rsidR="00394DF1" w:rsidRDefault="00F56E1E" w:rsidP="00E4688E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394DF1">
        <w:rPr>
          <w:sz w:val="24"/>
          <w:szCs w:val="24"/>
        </w:rPr>
        <w:t>Il a été rappelé la mise en place d’une</w:t>
      </w:r>
      <w:r w:rsidRPr="00394DF1">
        <w:rPr>
          <w:b/>
          <w:sz w:val="24"/>
          <w:szCs w:val="24"/>
        </w:rPr>
        <w:t xml:space="preserve"> </w:t>
      </w:r>
      <w:r w:rsidR="00AF5FE7" w:rsidRPr="00394DF1">
        <w:rPr>
          <w:b/>
          <w:sz w:val="24"/>
          <w:szCs w:val="24"/>
        </w:rPr>
        <w:t>Carte inte</w:t>
      </w:r>
      <w:r w:rsidR="003340E8" w:rsidRPr="00394DF1">
        <w:rPr>
          <w:b/>
          <w:sz w:val="24"/>
          <w:szCs w:val="24"/>
        </w:rPr>
        <w:t>ractive</w:t>
      </w:r>
      <w:r w:rsidR="003340E8" w:rsidRPr="00394DF1">
        <w:rPr>
          <w:sz w:val="24"/>
          <w:szCs w:val="24"/>
        </w:rPr>
        <w:t xml:space="preserve"> </w:t>
      </w:r>
      <w:r w:rsidRPr="00394DF1">
        <w:rPr>
          <w:sz w:val="24"/>
          <w:szCs w:val="24"/>
        </w:rPr>
        <w:t xml:space="preserve">sur la </w:t>
      </w:r>
      <w:r w:rsidR="003340E8" w:rsidRPr="00394DF1">
        <w:rPr>
          <w:sz w:val="24"/>
          <w:szCs w:val="24"/>
        </w:rPr>
        <w:t>Plate</w:t>
      </w:r>
      <w:r w:rsidR="00B76DA7" w:rsidRPr="00394DF1">
        <w:rPr>
          <w:sz w:val="24"/>
          <w:szCs w:val="24"/>
        </w:rPr>
        <w:t>forme numérique </w:t>
      </w:r>
      <w:r w:rsidRPr="00394DF1">
        <w:rPr>
          <w:sz w:val="24"/>
          <w:szCs w:val="24"/>
        </w:rPr>
        <w:t>du site de la SMLH</w:t>
      </w:r>
      <w:r w:rsidR="00394DF1">
        <w:rPr>
          <w:sz w:val="24"/>
          <w:szCs w:val="24"/>
        </w:rPr>
        <w:t xml:space="preserve"> pour localiser les projets mis en œuvre par les sections de France, d’outre-mer et de l’étranger dans le cadre du centenaire</w:t>
      </w:r>
      <w:r w:rsidRPr="00394DF1">
        <w:rPr>
          <w:sz w:val="24"/>
          <w:szCs w:val="24"/>
        </w:rPr>
        <w:t xml:space="preserve">. </w:t>
      </w:r>
      <w:r w:rsidR="00394DF1" w:rsidRPr="00394DF1">
        <w:rPr>
          <w:rFonts w:eastAsia="Times New Roman"/>
        </w:rPr>
        <w:t>L</w:t>
      </w:r>
      <w:r w:rsidR="00394DF1">
        <w:rPr>
          <w:rFonts w:eastAsia="Times New Roman"/>
        </w:rPr>
        <w:t>e lien pour accéder à cette</w:t>
      </w:r>
      <w:r w:rsidR="00394DF1" w:rsidRPr="00394DF1">
        <w:rPr>
          <w:rFonts w:eastAsia="Times New Roman"/>
        </w:rPr>
        <w:t xml:space="preserve"> carte </w:t>
      </w:r>
      <w:r w:rsidR="00394DF1">
        <w:rPr>
          <w:rFonts w:eastAsia="Times New Roman"/>
        </w:rPr>
        <w:t xml:space="preserve">est le suivant : </w:t>
      </w:r>
      <w:hyperlink r:id="rId8" w:history="1">
        <w:r w:rsidR="00394DF1" w:rsidRPr="00394DF1">
          <w:rPr>
            <w:rStyle w:val="Lienhypertexte"/>
            <w:rFonts w:eastAsia="Times New Roman"/>
          </w:rPr>
          <w:t>https://www.smlh.fr/nos-actualites/centenaire-3531</w:t>
        </w:r>
      </w:hyperlink>
      <w:r w:rsidR="00394DF1" w:rsidRPr="00394DF1">
        <w:rPr>
          <w:rFonts w:eastAsia="Times New Roman"/>
        </w:rPr>
        <w:t> </w:t>
      </w:r>
    </w:p>
    <w:p w:rsidR="00394DF1" w:rsidRDefault="00394DF1" w:rsidP="00E4688E">
      <w:pPr>
        <w:pStyle w:val="Paragraphedeliste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Ce site offre la possibilité de mettre en valeur les actions menées par </w:t>
      </w:r>
      <w:r w:rsidR="00FC322A">
        <w:rPr>
          <w:rFonts w:eastAsia="Times New Roman"/>
        </w:rPr>
        <w:t>vos sections. A titre d’exemple</w:t>
      </w:r>
      <w:r>
        <w:rPr>
          <w:rFonts w:eastAsia="Times New Roman"/>
        </w:rPr>
        <w:t xml:space="preserve">, peuvent être mis en ligne des articles de presse, podcasts, </w:t>
      </w:r>
      <w:proofErr w:type="spellStart"/>
      <w:r>
        <w:rPr>
          <w:rFonts w:eastAsia="Times New Roman"/>
        </w:rPr>
        <w:t>videos</w:t>
      </w:r>
      <w:proofErr w:type="spellEnd"/>
      <w:r>
        <w:rPr>
          <w:rFonts w:eastAsia="Times New Roman"/>
        </w:rPr>
        <w:t xml:space="preserve"> ou tout  élément sur une commémoration, une exposition, une soirée de gala, un</w:t>
      </w:r>
      <w:r w:rsidR="007F3404">
        <w:rPr>
          <w:rFonts w:eastAsia="Times New Roman"/>
        </w:rPr>
        <w:t>e</w:t>
      </w:r>
      <w:r>
        <w:rPr>
          <w:rFonts w:eastAsia="Times New Roman"/>
        </w:rPr>
        <w:t xml:space="preserve"> conférence, un spectacle etc.</w:t>
      </w:r>
    </w:p>
    <w:p w:rsidR="007F3404" w:rsidRPr="00F56E1E" w:rsidRDefault="007F3404" w:rsidP="00E4688E">
      <w:pPr>
        <w:pStyle w:val="Paragraphedeliste"/>
        <w:jc w:val="both"/>
        <w:rPr>
          <w:rFonts w:ascii="Calibri" w:eastAsia="Times New Roman" w:hAnsi="Calibri" w:cs="Helvetica"/>
        </w:rPr>
      </w:pPr>
      <w:r>
        <w:t xml:space="preserve">Voici le lien utile : </w:t>
      </w:r>
      <w:hyperlink r:id="rId9" w:history="1">
        <w:r w:rsidRPr="00F56E1E">
          <w:rPr>
            <w:rStyle w:val="Lienhypertexte"/>
            <w:rFonts w:ascii="Calibri" w:eastAsia="Times New Roman" w:hAnsi="Calibri" w:cs="Helvetica"/>
            <w:color w:val="0563C1"/>
          </w:rPr>
          <w:t>https://www.smlh.fr/global/gene/details_mailing.php?id_mailing=1036</w:t>
        </w:r>
      </w:hyperlink>
    </w:p>
    <w:p w:rsidR="007F3404" w:rsidRDefault="007F3404" w:rsidP="00E4688E">
      <w:pPr>
        <w:pStyle w:val="Paragraphedeliste"/>
        <w:jc w:val="both"/>
        <w:rPr>
          <w:rFonts w:eastAsia="Times New Roman"/>
        </w:rPr>
      </w:pPr>
    </w:p>
    <w:p w:rsidR="00394DF1" w:rsidRDefault="007F3404" w:rsidP="00E4688E">
      <w:pPr>
        <w:ind w:left="708"/>
        <w:jc w:val="both"/>
        <w:rPr>
          <w:rFonts w:ascii="Calibri" w:eastAsia="Times New Roman" w:hAnsi="Calibri"/>
        </w:rPr>
      </w:pPr>
      <w:r>
        <w:rPr>
          <w:rFonts w:eastAsia="Times New Roman"/>
        </w:rPr>
        <w:t xml:space="preserve">Concrètement, </w:t>
      </w:r>
      <w:r w:rsidR="00394DF1">
        <w:rPr>
          <w:rFonts w:eastAsia="Times New Roman"/>
        </w:rPr>
        <w:t xml:space="preserve">il est demandé de communiquer  </w:t>
      </w:r>
      <w:r>
        <w:rPr>
          <w:rFonts w:eastAsia="Times New Roman"/>
        </w:rPr>
        <w:t xml:space="preserve">à </w:t>
      </w:r>
      <w:r>
        <w:rPr>
          <w:rFonts w:ascii="Calibri" w:eastAsia="Times New Roman" w:hAnsi="Calibri"/>
        </w:rPr>
        <w:t>Valentine Dhont (</w:t>
      </w:r>
      <w:hyperlink r:id="rId10" w:history="1">
        <w:r>
          <w:rPr>
            <w:rStyle w:val="Lienhypertexte"/>
            <w:rFonts w:ascii="Calibri" w:eastAsia="Times New Roman" w:hAnsi="Calibri"/>
          </w:rPr>
          <w:t>valentine.dhont@smlh.fr</w:t>
        </w:r>
      </w:hyperlink>
      <w:proofErr w:type="gramStart"/>
      <w:r>
        <w:rPr>
          <w:rFonts w:ascii="Calibri" w:eastAsia="Times New Roman" w:hAnsi="Calibri"/>
        </w:rPr>
        <w:t>)et</w:t>
      </w:r>
      <w:proofErr w:type="gramEnd"/>
      <w:r>
        <w:rPr>
          <w:rFonts w:ascii="Calibri" w:eastAsia="Times New Roman" w:hAnsi="Calibri"/>
        </w:rPr>
        <w:t xml:space="preserve"> Fleur </w:t>
      </w:r>
      <w:proofErr w:type="spellStart"/>
      <w:r>
        <w:rPr>
          <w:rFonts w:ascii="Calibri" w:eastAsia="Times New Roman" w:hAnsi="Calibri"/>
        </w:rPr>
        <w:t>Lajouanie</w:t>
      </w:r>
      <w:proofErr w:type="spellEnd"/>
      <w:r>
        <w:rPr>
          <w:rFonts w:ascii="Calibri" w:eastAsia="Times New Roman" w:hAnsi="Calibri"/>
        </w:rPr>
        <w:t xml:space="preserve"> (</w:t>
      </w:r>
      <w:hyperlink r:id="rId11" w:history="1">
        <w:r>
          <w:rPr>
            <w:rStyle w:val="Lienhypertexte"/>
            <w:rFonts w:ascii="Calibri" w:eastAsia="Times New Roman" w:hAnsi="Calibri"/>
          </w:rPr>
          <w:t>fleur.lajouanie@smlh.fr</w:t>
        </w:r>
      </w:hyperlink>
      <w:r>
        <w:rPr>
          <w:rFonts w:ascii="Calibri" w:eastAsia="Times New Roman" w:hAnsi="Calibri"/>
        </w:rPr>
        <w:t xml:space="preserve">) en copie, </w:t>
      </w:r>
      <w:r w:rsidRPr="007F3404">
        <w:rPr>
          <w:rFonts w:eastAsia="Times New Roman"/>
        </w:rPr>
        <w:t xml:space="preserve"> </w:t>
      </w:r>
      <w:r>
        <w:rPr>
          <w:rFonts w:eastAsia="Times New Roman"/>
        </w:rPr>
        <w:t xml:space="preserve">les éléments suivants concernant les événements </w:t>
      </w:r>
      <w:r>
        <w:rPr>
          <w:rFonts w:ascii="Calibri" w:eastAsia="Times New Roman" w:hAnsi="Calibri"/>
        </w:rPr>
        <w:t xml:space="preserve"> : </w:t>
      </w:r>
      <w:r w:rsidR="00394DF1">
        <w:rPr>
          <w:rFonts w:ascii="Calibri" w:eastAsia="Times New Roman" w:hAnsi="Calibri"/>
        </w:rPr>
        <w:t> </w:t>
      </w:r>
    </w:p>
    <w:p w:rsidR="00394DF1" w:rsidRDefault="00394DF1" w:rsidP="00E4688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Titre</w:t>
      </w:r>
    </w:p>
    <w:p w:rsidR="00394DF1" w:rsidRDefault="00394DF1" w:rsidP="00E4688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Description</w:t>
      </w:r>
    </w:p>
    <w:p w:rsidR="00394DF1" w:rsidRDefault="00394DF1" w:rsidP="00E4688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Photo / illustration </w:t>
      </w:r>
    </w:p>
    <w:p w:rsidR="00394DF1" w:rsidRDefault="00394DF1" w:rsidP="00E4688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Lien de redirection (optionnel)</w:t>
      </w:r>
    </w:p>
    <w:p w:rsidR="00394DF1" w:rsidRDefault="00394DF1" w:rsidP="00E4688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Contact pour plus d’info ou inscription</w:t>
      </w:r>
    </w:p>
    <w:p w:rsidR="00FC322A" w:rsidRDefault="00FC322A" w:rsidP="00E4688E">
      <w:pPr>
        <w:spacing w:after="0" w:line="240" w:lineRule="auto"/>
        <w:ind w:left="360"/>
        <w:jc w:val="both"/>
        <w:rPr>
          <w:rFonts w:ascii="Calibri" w:eastAsia="Times New Roman" w:hAnsi="Calibri"/>
        </w:rPr>
      </w:pPr>
    </w:p>
    <w:p w:rsidR="00FC322A" w:rsidRDefault="00FC322A" w:rsidP="00E4688E">
      <w:pPr>
        <w:spacing w:after="0" w:line="240" w:lineRule="auto"/>
        <w:ind w:left="36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Le Pôle Communication de la SMLH est chargé de faire ces données sur le site. </w:t>
      </w:r>
    </w:p>
    <w:p w:rsidR="0024519E" w:rsidRDefault="0024519E" w:rsidP="00E4688E">
      <w:pPr>
        <w:pStyle w:val="Paragraphedeliste"/>
        <w:ind w:left="1080"/>
        <w:jc w:val="both"/>
        <w:rPr>
          <w:sz w:val="24"/>
          <w:szCs w:val="24"/>
        </w:rPr>
      </w:pPr>
    </w:p>
    <w:p w:rsidR="00B76DA7" w:rsidRPr="005D314F" w:rsidRDefault="007F3404" w:rsidP="00E468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7F3404">
        <w:rPr>
          <w:sz w:val="24"/>
          <w:szCs w:val="24"/>
        </w:rPr>
        <w:t>A l’</w:t>
      </w:r>
      <w:r w:rsidR="005F197B">
        <w:rPr>
          <w:sz w:val="24"/>
          <w:szCs w:val="24"/>
        </w:rPr>
        <w:t>occasion du centenaire sera publi</w:t>
      </w:r>
      <w:r w:rsidRPr="007F3404">
        <w:rPr>
          <w:sz w:val="24"/>
          <w:szCs w:val="24"/>
        </w:rPr>
        <w:t xml:space="preserve">é </w:t>
      </w:r>
      <w:r>
        <w:rPr>
          <w:b/>
          <w:sz w:val="24"/>
          <w:szCs w:val="24"/>
        </w:rPr>
        <w:t>un b</w:t>
      </w:r>
      <w:r w:rsidR="00B76DA7" w:rsidRPr="005D314F">
        <w:rPr>
          <w:b/>
          <w:sz w:val="24"/>
          <w:szCs w:val="24"/>
        </w:rPr>
        <w:t>eau livre</w:t>
      </w:r>
      <w:r w:rsidR="00B418F1" w:rsidRPr="005D314F">
        <w:rPr>
          <w:sz w:val="24"/>
          <w:szCs w:val="24"/>
        </w:rPr>
        <w:t> </w:t>
      </w:r>
      <w:r>
        <w:rPr>
          <w:sz w:val="24"/>
          <w:szCs w:val="24"/>
        </w:rPr>
        <w:t>sur la SMLH, aux éditions</w:t>
      </w:r>
      <w:r w:rsidR="003340E8" w:rsidRPr="005D314F">
        <w:rPr>
          <w:sz w:val="24"/>
          <w:szCs w:val="24"/>
        </w:rPr>
        <w:t xml:space="preserve"> Finet, sous la direction du professeur </w:t>
      </w:r>
      <w:proofErr w:type="spellStart"/>
      <w:r w:rsidR="003340E8" w:rsidRPr="005D314F">
        <w:rPr>
          <w:sz w:val="24"/>
          <w:szCs w:val="24"/>
        </w:rPr>
        <w:t>Rapoport</w:t>
      </w:r>
      <w:proofErr w:type="spellEnd"/>
      <w:r w:rsidR="005D314F" w:rsidRPr="005D31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Il s’agira du </w:t>
      </w:r>
      <w:r w:rsidR="005D314F" w:rsidRPr="005D314F">
        <w:rPr>
          <w:sz w:val="24"/>
          <w:szCs w:val="24"/>
        </w:rPr>
        <w:t xml:space="preserve">premier </w:t>
      </w:r>
      <w:r w:rsidR="00354B4C">
        <w:rPr>
          <w:sz w:val="24"/>
          <w:szCs w:val="24"/>
        </w:rPr>
        <w:t xml:space="preserve">ouvrage </w:t>
      </w:r>
      <w:r w:rsidR="005D314F" w:rsidRPr="005D314F">
        <w:rPr>
          <w:sz w:val="24"/>
          <w:szCs w:val="24"/>
        </w:rPr>
        <w:t>sur la SMLH</w:t>
      </w:r>
      <w:r>
        <w:rPr>
          <w:sz w:val="24"/>
          <w:szCs w:val="24"/>
        </w:rPr>
        <w:t xml:space="preserve">, qui comprendra </w:t>
      </w:r>
      <w:r w:rsidR="00354B4C">
        <w:rPr>
          <w:sz w:val="24"/>
          <w:szCs w:val="24"/>
        </w:rPr>
        <w:t>u</w:t>
      </w:r>
      <w:r w:rsidR="00B418F1" w:rsidRPr="005D314F">
        <w:rPr>
          <w:sz w:val="24"/>
          <w:szCs w:val="24"/>
        </w:rPr>
        <w:t xml:space="preserve">n chapitre sur les sections étrangères </w:t>
      </w:r>
      <w:r>
        <w:rPr>
          <w:sz w:val="24"/>
          <w:szCs w:val="24"/>
        </w:rPr>
        <w:t>et leur histoire compliquée.</w:t>
      </w:r>
    </w:p>
    <w:p w:rsidR="00DC3072" w:rsidRPr="00DC3072" w:rsidRDefault="007F3404" w:rsidP="00E4688E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7F3404">
        <w:rPr>
          <w:rFonts w:asciiTheme="minorHAnsi" w:hAnsiTheme="minorHAnsi"/>
        </w:rPr>
        <w:t xml:space="preserve">Enfin, </w:t>
      </w:r>
      <w:r>
        <w:rPr>
          <w:rFonts w:asciiTheme="minorHAnsi" w:hAnsiTheme="minorHAnsi"/>
        </w:rPr>
        <w:t xml:space="preserve">sont à signaler deux </w:t>
      </w:r>
      <w:r w:rsidRPr="00DC3072">
        <w:rPr>
          <w:rFonts w:asciiTheme="minorHAnsi" w:hAnsiTheme="minorHAnsi"/>
          <w:b/>
        </w:rPr>
        <w:t>expositions</w:t>
      </w:r>
      <w:r>
        <w:rPr>
          <w:rFonts w:asciiTheme="minorHAnsi" w:hAnsiTheme="minorHAnsi"/>
        </w:rPr>
        <w:t xml:space="preserve"> sur la SMLH : l’une, composée de portraits</w:t>
      </w:r>
      <w:r w:rsidR="00DC3072">
        <w:rPr>
          <w:rFonts w:asciiTheme="minorHAnsi" w:hAnsiTheme="minorHAnsi"/>
        </w:rPr>
        <w:t xml:space="preserve">, présentée dans les douves de l’hôtel des Invalides ; l’autre, </w:t>
      </w:r>
      <w:r w:rsidR="00DC3072" w:rsidRPr="003340E8">
        <w:rPr>
          <w:rFonts w:asciiTheme="minorHAnsi" w:hAnsiTheme="minorHAnsi"/>
        </w:rPr>
        <w:t>centrée sur l’histoire et les missions de la SMLH</w:t>
      </w:r>
      <w:r w:rsidR="00DC3072">
        <w:rPr>
          <w:rFonts w:asciiTheme="minorHAnsi" w:hAnsiTheme="minorHAnsi"/>
        </w:rPr>
        <w:t>,</w:t>
      </w:r>
      <w:r w:rsidR="00DC3072" w:rsidRPr="003340E8">
        <w:rPr>
          <w:rFonts w:asciiTheme="minorHAnsi" w:hAnsiTheme="minorHAnsi"/>
        </w:rPr>
        <w:t xml:space="preserve"> </w:t>
      </w:r>
      <w:r w:rsidR="00DC3072">
        <w:rPr>
          <w:rFonts w:asciiTheme="minorHAnsi" w:hAnsiTheme="minorHAnsi"/>
        </w:rPr>
        <w:t>destinée à être itinérante. Comportant 11 panneaux (kakemonos) dont un sur l’é</w:t>
      </w:r>
      <w:r w:rsidR="00DC3072" w:rsidRPr="00354B4C">
        <w:rPr>
          <w:rFonts w:asciiTheme="minorHAnsi" w:hAnsiTheme="minorHAnsi"/>
        </w:rPr>
        <w:t>tranger</w:t>
      </w:r>
      <w:r w:rsidR="00DC3072">
        <w:rPr>
          <w:rFonts w:asciiTheme="minorHAnsi" w:hAnsiTheme="minorHAnsi"/>
        </w:rPr>
        <w:t>, elle</w:t>
      </w:r>
      <w:r w:rsidR="00DC3072" w:rsidRPr="003340E8">
        <w:rPr>
          <w:rFonts w:asciiTheme="minorHAnsi" w:hAnsiTheme="minorHAnsi"/>
        </w:rPr>
        <w:t xml:space="preserve"> sera disponible à compter du 27 octobre, date de son vernissage au Musée de la Légion d’honneur.</w:t>
      </w:r>
      <w:r w:rsidR="00DC3072">
        <w:rPr>
          <w:rFonts w:asciiTheme="minorHAnsi" w:hAnsiTheme="minorHAnsi"/>
        </w:rPr>
        <w:t xml:space="preserve"> Un e</w:t>
      </w:r>
      <w:r w:rsidR="00DC3072" w:rsidRPr="00354B4C">
        <w:rPr>
          <w:rFonts w:asciiTheme="minorHAnsi" w:hAnsiTheme="minorHAnsi"/>
        </w:rPr>
        <w:t xml:space="preserve">nvoi de PDF </w:t>
      </w:r>
      <w:r w:rsidR="00DC3072">
        <w:rPr>
          <w:rFonts w:asciiTheme="minorHAnsi" w:hAnsiTheme="minorHAnsi"/>
        </w:rPr>
        <w:t xml:space="preserve">est prévu </w:t>
      </w:r>
      <w:r w:rsidR="00DC3072" w:rsidRPr="00354B4C">
        <w:rPr>
          <w:rFonts w:asciiTheme="minorHAnsi" w:hAnsiTheme="minorHAnsi"/>
        </w:rPr>
        <w:t>en novembre</w:t>
      </w:r>
      <w:r w:rsidR="00DC3072">
        <w:rPr>
          <w:rFonts w:asciiTheme="minorHAnsi" w:hAnsiTheme="minorHAnsi"/>
        </w:rPr>
        <w:t>, permettant de faire reproduite les panneaux</w:t>
      </w:r>
      <w:r w:rsidR="00DC3072" w:rsidRPr="00354B4C">
        <w:rPr>
          <w:rFonts w:asciiTheme="minorHAnsi" w:hAnsiTheme="minorHAnsi"/>
        </w:rPr>
        <w:t xml:space="preserve"> sur place. </w:t>
      </w:r>
      <w:r w:rsidR="00DC3072" w:rsidRPr="00DC3072">
        <w:rPr>
          <w:rFonts w:asciiTheme="minorHAnsi" w:hAnsiTheme="minorHAnsi"/>
          <w:b/>
        </w:rPr>
        <w:t>S</w:t>
      </w:r>
      <w:r w:rsidR="00DC3072">
        <w:rPr>
          <w:rFonts w:asciiTheme="minorHAnsi" w:hAnsiTheme="minorHAnsi"/>
          <w:b/>
        </w:rPr>
        <w:t>i vous prévoyez de</w:t>
      </w:r>
      <w:r w:rsidR="00DC3072" w:rsidRPr="00DC3072">
        <w:rPr>
          <w:rFonts w:asciiTheme="minorHAnsi" w:hAnsiTheme="minorHAnsi"/>
          <w:b/>
        </w:rPr>
        <w:t xml:space="preserve"> présenter</w:t>
      </w:r>
      <w:r w:rsidR="00DC3072">
        <w:rPr>
          <w:rFonts w:asciiTheme="minorHAnsi" w:hAnsiTheme="minorHAnsi"/>
          <w:b/>
        </w:rPr>
        <w:t xml:space="preserve"> cette exposition</w:t>
      </w:r>
      <w:r w:rsidR="00DC3072" w:rsidRPr="00DC3072">
        <w:rPr>
          <w:rFonts w:asciiTheme="minorHAnsi" w:hAnsiTheme="minorHAnsi"/>
          <w:b/>
        </w:rPr>
        <w:t>, je vous remercie de faire connaître vos souhaits</w:t>
      </w:r>
      <w:r w:rsidR="00DC3072">
        <w:rPr>
          <w:rFonts w:asciiTheme="minorHAnsi" w:hAnsiTheme="minorHAnsi"/>
          <w:b/>
        </w:rPr>
        <w:t xml:space="preserve"> à Fleur </w:t>
      </w:r>
      <w:proofErr w:type="spellStart"/>
      <w:r w:rsidR="00DC3072">
        <w:rPr>
          <w:rFonts w:asciiTheme="minorHAnsi" w:hAnsiTheme="minorHAnsi"/>
          <w:b/>
        </w:rPr>
        <w:t>Lajouanie</w:t>
      </w:r>
      <w:proofErr w:type="spellEnd"/>
      <w:r w:rsidR="00DC3072" w:rsidRPr="00DC3072">
        <w:rPr>
          <w:rFonts w:asciiTheme="minorHAnsi" w:hAnsiTheme="minorHAnsi"/>
          <w:b/>
        </w:rPr>
        <w:t>.</w:t>
      </w:r>
    </w:p>
    <w:p w:rsidR="00EC5631" w:rsidRDefault="00DC3072" w:rsidP="00E4688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C3072">
        <w:rPr>
          <w:sz w:val="24"/>
          <w:szCs w:val="24"/>
        </w:rPr>
        <w:t>Est également à signaler</w:t>
      </w:r>
      <w:r>
        <w:rPr>
          <w:sz w:val="24"/>
          <w:szCs w:val="24"/>
        </w:rPr>
        <w:t xml:space="preserve"> dans l’actualité</w:t>
      </w:r>
      <w:r>
        <w:rPr>
          <w:b/>
          <w:sz w:val="24"/>
          <w:szCs w:val="24"/>
        </w:rPr>
        <w:t xml:space="preserve"> la r</w:t>
      </w:r>
      <w:r w:rsidR="00EC5631" w:rsidRPr="00DC3072">
        <w:rPr>
          <w:b/>
          <w:sz w:val="24"/>
          <w:szCs w:val="24"/>
        </w:rPr>
        <w:t xml:space="preserve">évision </w:t>
      </w:r>
      <w:r w:rsidR="00696505">
        <w:rPr>
          <w:b/>
          <w:sz w:val="24"/>
          <w:szCs w:val="24"/>
        </w:rPr>
        <w:t xml:space="preserve">en cours </w:t>
      </w:r>
      <w:r w:rsidR="00EC5631" w:rsidRPr="00DC3072">
        <w:rPr>
          <w:b/>
          <w:sz w:val="24"/>
          <w:szCs w:val="24"/>
        </w:rPr>
        <w:t>de la Charte</w:t>
      </w:r>
      <w:r w:rsidR="005D314F" w:rsidRPr="00DC3072">
        <w:rPr>
          <w:b/>
          <w:sz w:val="24"/>
          <w:szCs w:val="24"/>
        </w:rPr>
        <w:t xml:space="preserve"> des sections étrangères</w:t>
      </w:r>
      <w:r>
        <w:rPr>
          <w:b/>
          <w:sz w:val="24"/>
          <w:szCs w:val="24"/>
        </w:rPr>
        <w:t>, </w:t>
      </w:r>
      <w:r w:rsidR="00CF046F" w:rsidRPr="00DC3072">
        <w:rPr>
          <w:sz w:val="24"/>
          <w:szCs w:val="24"/>
        </w:rPr>
        <w:t>dans le cadre</w:t>
      </w:r>
      <w:r w:rsidR="00CF046F" w:rsidRPr="00DC3072">
        <w:rPr>
          <w:b/>
          <w:sz w:val="24"/>
          <w:szCs w:val="24"/>
        </w:rPr>
        <w:t xml:space="preserve"> </w:t>
      </w:r>
      <w:r w:rsidR="00CF046F" w:rsidRPr="00DC3072">
        <w:rPr>
          <w:sz w:val="24"/>
          <w:szCs w:val="24"/>
        </w:rPr>
        <w:t>d’un important travail</w:t>
      </w:r>
      <w:r w:rsidR="00696505">
        <w:rPr>
          <w:sz w:val="24"/>
          <w:szCs w:val="24"/>
        </w:rPr>
        <w:t xml:space="preserve"> en cours, </w:t>
      </w:r>
      <w:r w:rsidR="00CF046F" w:rsidRPr="00DC3072">
        <w:rPr>
          <w:sz w:val="24"/>
          <w:szCs w:val="24"/>
        </w:rPr>
        <w:t xml:space="preserve"> mené sous la direction du</w:t>
      </w:r>
      <w:r w:rsidR="00CF046F" w:rsidRPr="00DC3072">
        <w:rPr>
          <w:b/>
          <w:sz w:val="24"/>
          <w:szCs w:val="24"/>
        </w:rPr>
        <w:t xml:space="preserve"> </w:t>
      </w:r>
      <w:r w:rsidR="00CF046F" w:rsidRPr="00DC3072">
        <w:rPr>
          <w:sz w:val="24"/>
          <w:szCs w:val="24"/>
        </w:rPr>
        <w:t>Secrétaire général</w:t>
      </w:r>
      <w:r w:rsidR="00E97304" w:rsidRPr="00DC3072">
        <w:rPr>
          <w:sz w:val="24"/>
          <w:szCs w:val="24"/>
        </w:rPr>
        <w:t> </w:t>
      </w:r>
      <w:r>
        <w:rPr>
          <w:sz w:val="24"/>
          <w:szCs w:val="24"/>
        </w:rPr>
        <w:t xml:space="preserve">Christian </w:t>
      </w:r>
      <w:r w:rsidR="00CF046F" w:rsidRPr="00DC3072">
        <w:rPr>
          <w:sz w:val="24"/>
          <w:szCs w:val="24"/>
        </w:rPr>
        <w:t>Piotre</w:t>
      </w:r>
      <w:r>
        <w:rPr>
          <w:sz w:val="24"/>
          <w:szCs w:val="24"/>
        </w:rPr>
        <w:t>,</w:t>
      </w:r>
      <w:r w:rsidR="00CF046F" w:rsidRPr="00DC3072">
        <w:rPr>
          <w:sz w:val="24"/>
          <w:szCs w:val="24"/>
        </w:rPr>
        <w:t xml:space="preserve"> sur le règlement intérieur de la SMLH (refonte du guide des procédures</w:t>
      </w:r>
      <w:r w:rsidR="002E4457" w:rsidRPr="00DC3072">
        <w:rPr>
          <w:sz w:val="24"/>
          <w:szCs w:val="24"/>
        </w:rPr>
        <w:t xml:space="preserve">, révision des statuts). Pour l’étranger, </w:t>
      </w:r>
      <w:r>
        <w:rPr>
          <w:sz w:val="24"/>
          <w:szCs w:val="24"/>
        </w:rPr>
        <w:t>cette charte constitue un</w:t>
      </w:r>
      <w:r w:rsidR="002E4457" w:rsidRPr="00DC3072">
        <w:rPr>
          <w:sz w:val="24"/>
          <w:szCs w:val="24"/>
        </w:rPr>
        <w:t xml:space="preserve"> cadre souple</w:t>
      </w:r>
      <w:r>
        <w:rPr>
          <w:sz w:val="24"/>
          <w:szCs w:val="24"/>
        </w:rPr>
        <w:t xml:space="preserve"> tenant compte des spécificités du droit</w:t>
      </w:r>
      <w:r w:rsidR="002E4457" w:rsidRPr="00DC3072">
        <w:rPr>
          <w:sz w:val="24"/>
          <w:szCs w:val="24"/>
        </w:rPr>
        <w:t xml:space="preserve"> local</w:t>
      </w:r>
      <w:r>
        <w:rPr>
          <w:sz w:val="24"/>
          <w:szCs w:val="24"/>
        </w:rPr>
        <w:t xml:space="preserve"> dans chaque pays</w:t>
      </w:r>
      <w:r w:rsidR="002E4457" w:rsidRPr="00DC3072">
        <w:rPr>
          <w:sz w:val="24"/>
          <w:szCs w:val="24"/>
        </w:rPr>
        <w:t xml:space="preserve">. </w:t>
      </w:r>
      <w:r w:rsidR="00696505">
        <w:rPr>
          <w:sz w:val="24"/>
          <w:szCs w:val="24"/>
        </w:rPr>
        <w:t>Parmi les point</w:t>
      </w:r>
      <w:r w:rsidR="00E97304" w:rsidRPr="00DC3072">
        <w:rPr>
          <w:sz w:val="24"/>
          <w:szCs w:val="24"/>
        </w:rPr>
        <w:t>s</w:t>
      </w:r>
      <w:r w:rsidR="00696505">
        <w:rPr>
          <w:sz w:val="24"/>
          <w:szCs w:val="24"/>
        </w:rPr>
        <w:t xml:space="preserve"> à retenir figurent le principe qu’il existe</w:t>
      </w:r>
      <w:r w:rsidR="00E97304" w:rsidRPr="00DC3072">
        <w:rPr>
          <w:sz w:val="24"/>
          <w:szCs w:val="24"/>
        </w:rPr>
        <w:t xml:space="preserve"> </w:t>
      </w:r>
      <w:r w:rsidR="00E97304" w:rsidRPr="00696505">
        <w:rPr>
          <w:b/>
          <w:sz w:val="24"/>
          <w:szCs w:val="24"/>
        </w:rPr>
        <w:t>une section par pays</w:t>
      </w:r>
      <w:r w:rsidR="00E97304" w:rsidRPr="00DC3072">
        <w:rPr>
          <w:sz w:val="24"/>
          <w:szCs w:val="24"/>
        </w:rPr>
        <w:t xml:space="preserve"> et </w:t>
      </w:r>
      <w:r w:rsidR="00696505">
        <w:rPr>
          <w:sz w:val="24"/>
          <w:szCs w:val="24"/>
        </w:rPr>
        <w:t xml:space="preserve">celui de la </w:t>
      </w:r>
      <w:r w:rsidR="002E4457" w:rsidRPr="00DC3072">
        <w:rPr>
          <w:sz w:val="24"/>
          <w:szCs w:val="24"/>
        </w:rPr>
        <w:t xml:space="preserve">levée des </w:t>
      </w:r>
      <w:r w:rsidR="00E97304" w:rsidRPr="00696505">
        <w:rPr>
          <w:b/>
          <w:sz w:val="24"/>
          <w:szCs w:val="24"/>
        </w:rPr>
        <w:t>cotisations</w:t>
      </w:r>
      <w:r w:rsidR="002E4457" w:rsidRPr="00DC3072">
        <w:rPr>
          <w:sz w:val="24"/>
          <w:szCs w:val="24"/>
        </w:rPr>
        <w:t xml:space="preserve"> </w:t>
      </w:r>
      <w:r w:rsidR="00696505">
        <w:rPr>
          <w:sz w:val="24"/>
          <w:szCs w:val="24"/>
        </w:rPr>
        <w:t xml:space="preserve">qui doit être </w:t>
      </w:r>
      <w:r w:rsidR="002E4457" w:rsidRPr="00DC3072">
        <w:rPr>
          <w:sz w:val="24"/>
          <w:szCs w:val="24"/>
        </w:rPr>
        <w:t>gérée en interne</w:t>
      </w:r>
      <w:r w:rsidR="00696505">
        <w:rPr>
          <w:sz w:val="24"/>
          <w:szCs w:val="24"/>
        </w:rPr>
        <w:t xml:space="preserve"> par chaque section</w:t>
      </w:r>
      <w:r w:rsidR="002E4457" w:rsidRPr="00DC3072">
        <w:rPr>
          <w:sz w:val="24"/>
          <w:szCs w:val="24"/>
        </w:rPr>
        <w:t>, les soci</w:t>
      </w:r>
      <w:r w:rsidR="00696505">
        <w:rPr>
          <w:sz w:val="24"/>
          <w:szCs w:val="24"/>
        </w:rPr>
        <w:t>étaires étant inscrits dans la</w:t>
      </w:r>
      <w:r w:rsidR="002E4457" w:rsidRPr="00DC3072">
        <w:rPr>
          <w:sz w:val="24"/>
          <w:szCs w:val="24"/>
        </w:rPr>
        <w:t xml:space="preserve"> section</w:t>
      </w:r>
      <w:r w:rsidR="00696505">
        <w:rPr>
          <w:sz w:val="24"/>
          <w:szCs w:val="24"/>
        </w:rPr>
        <w:t xml:space="preserve"> de leur pays de résidence</w:t>
      </w:r>
      <w:r w:rsidR="002E4457" w:rsidRPr="00DC3072">
        <w:rPr>
          <w:sz w:val="24"/>
          <w:szCs w:val="24"/>
        </w:rPr>
        <w:t xml:space="preserve"> (</w:t>
      </w:r>
      <w:r w:rsidR="00696505">
        <w:rPr>
          <w:sz w:val="24"/>
          <w:szCs w:val="24"/>
        </w:rPr>
        <w:t>l’</w:t>
      </w:r>
      <w:r w:rsidR="002E4457" w:rsidRPr="00DC3072">
        <w:rPr>
          <w:sz w:val="24"/>
          <w:szCs w:val="24"/>
        </w:rPr>
        <w:t xml:space="preserve">inscription </w:t>
      </w:r>
      <w:r w:rsidR="00696505">
        <w:rPr>
          <w:sz w:val="24"/>
          <w:szCs w:val="24"/>
        </w:rPr>
        <w:t xml:space="preserve">auprès du siège </w:t>
      </w:r>
      <w:r w:rsidR="002E4457" w:rsidRPr="00DC3072">
        <w:rPr>
          <w:sz w:val="24"/>
          <w:szCs w:val="24"/>
        </w:rPr>
        <w:t xml:space="preserve">à Paris </w:t>
      </w:r>
      <w:r w:rsidR="00696505">
        <w:rPr>
          <w:sz w:val="24"/>
          <w:szCs w:val="24"/>
        </w:rPr>
        <w:t>n’intervenant que lorsqu’il n’existe</w:t>
      </w:r>
      <w:r w:rsidR="002E4457" w:rsidRPr="00DC3072">
        <w:rPr>
          <w:sz w:val="24"/>
          <w:szCs w:val="24"/>
        </w:rPr>
        <w:t xml:space="preserve"> pas de section </w:t>
      </w:r>
      <w:r w:rsidR="00696505">
        <w:rPr>
          <w:sz w:val="24"/>
          <w:szCs w:val="24"/>
        </w:rPr>
        <w:t xml:space="preserve">locale </w:t>
      </w:r>
      <w:r w:rsidR="002E4457" w:rsidRPr="00DC3072">
        <w:rPr>
          <w:sz w:val="24"/>
          <w:szCs w:val="24"/>
        </w:rPr>
        <w:t xml:space="preserve">ou </w:t>
      </w:r>
      <w:r w:rsidR="00696505">
        <w:rPr>
          <w:sz w:val="24"/>
          <w:szCs w:val="24"/>
        </w:rPr>
        <w:t xml:space="preserve">en cas de </w:t>
      </w:r>
      <w:r w:rsidR="002E4457" w:rsidRPr="00DC3072">
        <w:rPr>
          <w:sz w:val="24"/>
          <w:szCs w:val="24"/>
        </w:rPr>
        <w:t>problème spécifique)</w:t>
      </w:r>
      <w:r w:rsidR="00696505">
        <w:rPr>
          <w:sz w:val="24"/>
          <w:szCs w:val="24"/>
        </w:rPr>
        <w:t xml:space="preserve">. Il a été rappelé à cette occasion l’importance pour chaque section de collecter les cotisations des membres, sachant qu’être à jour de sa cotisation est une condition pour avoir le droit de vote à l’assemblée générale. </w:t>
      </w:r>
      <w:r w:rsidR="00696505">
        <w:rPr>
          <w:sz w:val="24"/>
          <w:szCs w:val="24"/>
        </w:rPr>
        <w:lastRenderedPageBreak/>
        <w:t>Rappelons également que chaque président de section décide du pourcentage qui est reversé au budget de la SMLH, laquelle ne vit que de ces contributions.</w:t>
      </w:r>
    </w:p>
    <w:p w:rsidR="00596A0A" w:rsidRPr="00DC3072" w:rsidRDefault="00596A0A" w:rsidP="00E4688E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convient de ne pas confondre ces cotisations avec les dons que peuvent faire </w:t>
      </w:r>
      <w:r w:rsidR="00185F3E">
        <w:rPr>
          <w:sz w:val="24"/>
          <w:szCs w:val="24"/>
        </w:rPr>
        <w:t xml:space="preserve">par ailleurs </w:t>
      </w:r>
      <w:r>
        <w:rPr>
          <w:sz w:val="24"/>
          <w:szCs w:val="24"/>
        </w:rPr>
        <w:t>les sections</w:t>
      </w:r>
      <w:r w:rsidR="00185F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408F0" w:rsidRPr="003340E8" w:rsidRDefault="007408F0" w:rsidP="00E4688E">
      <w:pPr>
        <w:jc w:val="both"/>
        <w:rPr>
          <w:sz w:val="24"/>
          <w:szCs w:val="24"/>
        </w:rPr>
      </w:pPr>
    </w:p>
    <w:p w:rsidR="008B5301" w:rsidRDefault="00FE6A01" w:rsidP="00E4688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L’annuaire des sections étrangères</w:t>
      </w:r>
      <w:r w:rsidR="00AA3828">
        <w:rPr>
          <w:sz w:val="24"/>
          <w:szCs w:val="24"/>
        </w:rPr>
        <w:t>,</w:t>
      </w:r>
      <w:r>
        <w:rPr>
          <w:sz w:val="24"/>
          <w:szCs w:val="24"/>
        </w:rPr>
        <w:t xml:space="preserve"> mis à jour</w:t>
      </w:r>
      <w:r w:rsidR="00AA3828">
        <w:rPr>
          <w:sz w:val="24"/>
          <w:szCs w:val="24"/>
        </w:rPr>
        <w:t>,</w:t>
      </w:r>
      <w:r>
        <w:rPr>
          <w:sz w:val="24"/>
          <w:szCs w:val="24"/>
        </w:rPr>
        <w:t xml:space="preserve"> a été remis à chaque participant (voir pièce jointe). </w:t>
      </w:r>
      <w:r w:rsidR="00AA3828">
        <w:rPr>
          <w:sz w:val="24"/>
          <w:szCs w:val="24"/>
        </w:rPr>
        <w:t xml:space="preserve">Il serait utile de signaler toute erreur qui pourrait être constatée ou éventuel complément à apporter. </w:t>
      </w:r>
    </w:p>
    <w:p w:rsidR="00B101FF" w:rsidRDefault="00B101FF" w:rsidP="00B101FF">
      <w:pPr>
        <w:jc w:val="both"/>
        <w:rPr>
          <w:sz w:val="24"/>
          <w:szCs w:val="24"/>
        </w:rPr>
      </w:pPr>
    </w:p>
    <w:p w:rsidR="00B101FF" w:rsidRDefault="00B101FF" w:rsidP="00B101FF">
      <w:pPr>
        <w:ind w:left="4956"/>
        <w:rPr>
          <w:rFonts w:ascii="Neo Sans Std" w:eastAsiaTheme="minorEastAsia" w:hAnsi="Neo Sans Std"/>
          <w:b/>
          <w:bCs/>
          <w:noProof/>
          <w:color w:val="000000"/>
          <w:lang w:eastAsia="fr-FR"/>
        </w:rPr>
      </w:pPr>
      <w:r>
        <w:rPr>
          <w:rFonts w:ascii="Neo Sans Std" w:eastAsiaTheme="minorEastAsia" w:hAnsi="Neo Sans Std"/>
          <w:b/>
          <w:bCs/>
          <w:noProof/>
          <w:color w:val="000000"/>
          <w:lang w:eastAsia="fr-FR"/>
        </w:rPr>
        <w:t>Ambassadeur (h) Cécile Pozzo di Borgo</w:t>
      </w:r>
    </w:p>
    <w:p w:rsidR="00B101FF" w:rsidRDefault="00B101FF" w:rsidP="00B101FF">
      <w:pPr>
        <w:ind w:left="4248" w:firstLine="708"/>
        <w:rPr>
          <w:rFonts w:ascii="Neo Sans Std" w:eastAsiaTheme="minorEastAsia" w:hAnsi="Neo Sans Std"/>
          <w:noProof/>
          <w:color w:val="000000"/>
          <w:sz w:val="20"/>
          <w:szCs w:val="20"/>
          <w:lang w:eastAsia="fr-FR"/>
        </w:rPr>
      </w:pPr>
      <w:r>
        <w:rPr>
          <w:rFonts w:ascii="Neo Sans Std" w:eastAsiaTheme="minorEastAsia" w:hAnsi="Neo Sans Std"/>
          <w:noProof/>
          <w:color w:val="000000"/>
          <w:sz w:val="20"/>
          <w:szCs w:val="20"/>
          <w:lang w:eastAsia="fr-FR"/>
        </w:rPr>
        <w:t>Administrateur</w:t>
      </w:r>
      <w:r w:rsidRPr="00B101FF">
        <w:rPr>
          <w:rFonts w:ascii="Neo Sans Std" w:eastAsiaTheme="minorEastAsia" w:hAnsi="Neo Sans Std"/>
          <w:noProof/>
          <w:color w:val="000000"/>
          <w:sz w:val="20"/>
          <w:szCs w:val="20"/>
          <w:lang w:eastAsia="fr-FR"/>
        </w:rPr>
        <w:t xml:space="preserve"> </w:t>
      </w:r>
      <w:r>
        <w:rPr>
          <w:rFonts w:ascii="Neo Sans Std" w:eastAsiaTheme="minorEastAsia" w:hAnsi="Neo Sans Std"/>
          <w:noProof/>
          <w:color w:val="000000"/>
          <w:sz w:val="20"/>
          <w:szCs w:val="20"/>
          <w:lang w:eastAsia="fr-FR"/>
        </w:rPr>
        <w:t>Chargée des sections de l’étranger</w:t>
      </w:r>
      <w:r>
        <w:rPr>
          <w:rFonts w:ascii="Neo Sans Std" w:eastAsiaTheme="minorEastAsia" w:hAnsi="Neo Sans Std"/>
          <w:noProof/>
          <w:color w:val="000000"/>
          <w:sz w:val="20"/>
          <w:szCs w:val="20"/>
          <w:lang w:eastAsia="fr-FR"/>
        </w:rPr>
        <w:t xml:space="preserve"> </w:t>
      </w:r>
    </w:p>
    <w:p w:rsidR="00B101FF" w:rsidRDefault="00B101FF" w:rsidP="00B101FF">
      <w:pPr>
        <w:ind w:left="4956"/>
        <w:rPr>
          <w:rFonts w:ascii="Neo Sans Std" w:eastAsiaTheme="minorEastAsia" w:hAnsi="Neo Sans Std"/>
          <w:noProof/>
          <w:color w:val="000000"/>
          <w:sz w:val="20"/>
          <w:szCs w:val="20"/>
          <w:lang w:eastAsia="fr-FR"/>
        </w:rPr>
      </w:pPr>
      <w:r>
        <w:rPr>
          <w:rFonts w:ascii="Neo Sans Std" w:eastAsiaTheme="minorEastAsia" w:hAnsi="Neo Sans Std"/>
          <w:noProof/>
          <w:color w:val="000000"/>
          <w:sz w:val="20"/>
          <w:szCs w:val="20"/>
          <w:lang w:eastAsia="fr-FR"/>
        </w:rPr>
        <w:t xml:space="preserve">    </w:t>
      </w:r>
      <w:r>
        <w:rPr>
          <w:rFonts w:ascii="Neo Sans Std" w:eastAsiaTheme="minorEastAsia" w:hAnsi="Neo Sans Std"/>
          <w:noProof/>
          <w:color w:val="000000"/>
          <w:sz w:val="20"/>
          <w:szCs w:val="20"/>
          <w:lang w:eastAsia="fr-FR"/>
        </w:rPr>
        <w:t>et des collectivités françaises ultramarines</w:t>
      </w:r>
    </w:p>
    <w:p w:rsidR="00B101FF" w:rsidRDefault="00B101FF" w:rsidP="00B101FF">
      <w:pPr>
        <w:rPr>
          <w:rFonts w:ascii="Neo Sans Std" w:eastAsiaTheme="minorEastAsia" w:hAnsi="Neo Sans Std"/>
          <w:noProof/>
          <w:color w:val="000000"/>
          <w:sz w:val="20"/>
          <w:szCs w:val="20"/>
          <w:lang w:eastAsia="fr-FR"/>
        </w:rPr>
      </w:pPr>
    </w:p>
    <w:p w:rsidR="00B101FF" w:rsidRPr="00B101FF" w:rsidRDefault="00B101FF" w:rsidP="00B101FF">
      <w:pPr>
        <w:ind w:left="6372"/>
        <w:jc w:val="both"/>
        <w:rPr>
          <w:sz w:val="24"/>
          <w:szCs w:val="24"/>
        </w:rPr>
      </w:pPr>
      <w:bookmarkStart w:id="0" w:name="_GoBack"/>
      <w:bookmarkEnd w:id="0"/>
    </w:p>
    <w:p w:rsidR="008B5301" w:rsidRDefault="008B5301" w:rsidP="00E4688E">
      <w:pPr>
        <w:jc w:val="both"/>
      </w:pPr>
    </w:p>
    <w:p w:rsidR="008B5301" w:rsidRDefault="008B5301" w:rsidP="00E4688E">
      <w:pPr>
        <w:jc w:val="both"/>
      </w:pPr>
    </w:p>
    <w:sectPr w:rsidR="008B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o Sans 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749"/>
    <w:multiLevelType w:val="multilevel"/>
    <w:tmpl w:val="937E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987049"/>
    <w:multiLevelType w:val="multilevel"/>
    <w:tmpl w:val="BBF6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105EC8"/>
    <w:multiLevelType w:val="hybridMultilevel"/>
    <w:tmpl w:val="F82C613A"/>
    <w:lvl w:ilvl="0" w:tplc="4EF46D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9172BC"/>
    <w:multiLevelType w:val="hybridMultilevel"/>
    <w:tmpl w:val="B0EE1482"/>
    <w:lvl w:ilvl="0" w:tplc="37BCB4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01"/>
    <w:rsid w:val="000763E7"/>
    <w:rsid w:val="000A2AB4"/>
    <w:rsid w:val="00164687"/>
    <w:rsid w:val="00185F3E"/>
    <w:rsid w:val="002030C7"/>
    <w:rsid w:val="0024519E"/>
    <w:rsid w:val="002E4457"/>
    <w:rsid w:val="0030534C"/>
    <w:rsid w:val="003340E8"/>
    <w:rsid w:val="00350819"/>
    <w:rsid w:val="00354B4C"/>
    <w:rsid w:val="00360D73"/>
    <w:rsid w:val="00394DF1"/>
    <w:rsid w:val="003A0B19"/>
    <w:rsid w:val="003E248A"/>
    <w:rsid w:val="00453435"/>
    <w:rsid w:val="004F027D"/>
    <w:rsid w:val="00596A0A"/>
    <w:rsid w:val="005C584E"/>
    <w:rsid w:val="005D314F"/>
    <w:rsid w:val="005E455A"/>
    <w:rsid w:val="005F197B"/>
    <w:rsid w:val="00691772"/>
    <w:rsid w:val="00696505"/>
    <w:rsid w:val="006B7245"/>
    <w:rsid w:val="00726D7C"/>
    <w:rsid w:val="007408F0"/>
    <w:rsid w:val="007A4D87"/>
    <w:rsid w:val="007A7BCD"/>
    <w:rsid w:val="007F3404"/>
    <w:rsid w:val="008560EA"/>
    <w:rsid w:val="008A10B3"/>
    <w:rsid w:val="008A5B1E"/>
    <w:rsid w:val="008B5301"/>
    <w:rsid w:val="008D4F79"/>
    <w:rsid w:val="009C1058"/>
    <w:rsid w:val="00A20B62"/>
    <w:rsid w:val="00AA3828"/>
    <w:rsid w:val="00AB3852"/>
    <w:rsid w:val="00AF5FE7"/>
    <w:rsid w:val="00B101FF"/>
    <w:rsid w:val="00B418F1"/>
    <w:rsid w:val="00B76DA7"/>
    <w:rsid w:val="00BB0ECC"/>
    <w:rsid w:val="00CC2CA1"/>
    <w:rsid w:val="00CF046F"/>
    <w:rsid w:val="00D75781"/>
    <w:rsid w:val="00D77054"/>
    <w:rsid w:val="00D9465B"/>
    <w:rsid w:val="00DC3072"/>
    <w:rsid w:val="00E150B8"/>
    <w:rsid w:val="00E4688E"/>
    <w:rsid w:val="00E97304"/>
    <w:rsid w:val="00EA7468"/>
    <w:rsid w:val="00EC5631"/>
    <w:rsid w:val="00F26439"/>
    <w:rsid w:val="00F56E1E"/>
    <w:rsid w:val="00F85139"/>
    <w:rsid w:val="00FC322A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D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1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C2CA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E455A"/>
  </w:style>
  <w:style w:type="paragraph" w:styleId="Textedebulles">
    <w:name w:val="Balloon Text"/>
    <w:basedOn w:val="Normal"/>
    <w:link w:val="TextedebullesCar"/>
    <w:uiPriority w:val="99"/>
    <w:semiHidden/>
    <w:unhideWhenUsed/>
    <w:rsid w:val="0035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D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1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C2CA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E455A"/>
  </w:style>
  <w:style w:type="paragraph" w:styleId="Textedebulles">
    <w:name w:val="Balloon Text"/>
    <w:basedOn w:val="Normal"/>
    <w:link w:val="TextedebullesCar"/>
    <w:uiPriority w:val="99"/>
    <w:semiHidden/>
    <w:unhideWhenUsed/>
    <w:rsid w:val="0035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lh.fr/nos-actualites/centenaire-35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lh.fr/" TargetMode="External"/><Relationship Id="rId11" Type="http://schemas.openxmlformats.org/officeDocument/2006/relationships/hyperlink" Target="mailto:fleur.lajouanie@smlh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ntine.dhont@smlh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lh.fr/global/gene/details_mailing.php?id_mailing=103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Sect_Etrg</dc:creator>
  <cp:lastModifiedBy>Sect_Etrg</cp:lastModifiedBy>
  <cp:revision>21</cp:revision>
  <cp:lastPrinted>2021-10-13T14:25:00Z</cp:lastPrinted>
  <dcterms:created xsi:type="dcterms:W3CDTF">2021-10-07T10:22:00Z</dcterms:created>
  <dcterms:modified xsi:type="dcterms:W3CDTF">2021-10-13T14:28:00Z</dcterms:modified>
</cp:coreProperties>
</file>